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3E" w:rsidRDefault="00E7023E" w:rsidP="00744D0D">
      <w:pPr>
        <w:ind w:left="1560" w:hanging="1560"/>
        <w:rPr>
          <w:sz w:val="9"/>
        </w:rPr>
      </w:pPr>
    </w:p>
    <w:tbl>
      <w:tblPr>
        <w:tblStyle w:val="TableNormal"/>
        <w:tblW w:w="9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674"/>
        <w:gridCol w:w="4272"/>
        <w:gridCol w:w="2425"/>
      </w:tblGrid>
      <w:tr w:rsidR="00E7023E" w:rsidTr="0047378C">
        <w:trPr>
          <w:trHeight w:val="2459"/>
        </w:trPr>
        <w:tc>
          <w:tcPr>
            <w:tcW w:w="2294" w:type="dxa"/>
          </w:tcPr>
          <w:p w:rsidR="00E7023E" w:rsidRDefault="00E7023E" w:rsidP="00744D0D">
            <w:pPr>
              <w:pStyle w:val="TableParagraph"/>
              <w:spacing w:before="9"/>
              <w:rPr>
                <w:sz w:val="21"/>
              </w:rPr>
            </w:pPr>
          </w:p>
          <w:p w:rsidR="00E7023E" w:rsidRDefault="00D21427" w:rsidP="00744D0D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47775" cy="12477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gridSpan w:val="2"/>
          </w:tcPr>
          <w:p w:rsidR="00E7023E" w:rsidRDefault="00E7023E" w:rsidP="00744D0D">
            <w:pPr>
              <w:pStyle w:val="TableParagraph"/>
              <w:rPr>
                <w:sz w:val="30"/>
              </w:rPr>
            </w:pPr>
          </w:p>
          <w:p w:rsidR="00E7023E" w:rsidRDefault="00E7023E" w:rsidP="00744D0D">
            <w:pPr>
              <w:pStyle w:val="TableParagraph"/>
              <w:rPr>
                <w:sz w:val="30"/>
              </w:rPr>
            </w:pPr>
          </w:p>
          <w:p w:rsidR="00E7023E" w:rsidRDefault="00E7023E" w:rsidP="00744D0D">
            <w:pPr>
              <w:pStyle w:val="TableParagraph"/>
              <w:spacing w:before="10"/>
              <w:rPr>
                <w:sz w:val="23"/>
              </w:rPr>
            </w:pPr>
          </w:p>
          <w:p w:rsidR="00E7023E" w:rsidRDefault="00D21427" w:rsidP="00530246">
            <w:pPr>
              <w:pStyle w:val="TableParagraph"/>
              <w:ind w:left="532"/>
              <w:rPr>
                <w:b/>
                <w:sz w:val="28"/>
              </w:rPr>
            </w:pPr>
            <w:r>
              <w:rPr>
                <w:b/>
                <w:sz w:val="28"/>
              </w:rPr>
              <w:t>ORMAN GENEL MÜDÜRLÜĞÜ</w:t>
            </w:r>
          </w:p>
        </w:tc>
        <w:tc>
          <w:tcPr>
            <w:tcW w:w="2425" w:type="dxa"/>
          </w:tcPr>
          <w:p w:rsidR="00E7023E" w:rsidRDefault="00E7023E" w:rsidP="00744D0D">
            <w:pPr>
              <w:pStyle w:val="TableParagraph"/>
              <w:spacing w:before="1" w:after="1"/>
              <w:jc w:val="right"/>
              <w:rPr>
                <w:sz w:val="16"/>
              </w:rPr>
            </w:pPr>
          </w:p>
          <w:p w:rsidR="00E7023E" w:rsidRDefault="00744D0D" w:rsidP="00744D0D">
            <w:pPr>
              <w:pStyle w:val="TableParagraph"/>
              <w:ind w:left="324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F1957FA" wp14:editId="2A50D39C">
                  <wp:extent cx="1325610" cy="1247736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29" cy="134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3E" w:rsidTr="0047378C">
        <w:trPr>
          <w:trHeight w:val="397"/>
        </w:trPr>
        <w:tc>
          <w:tcPr>
            <w:tcW w:w="9665" w:type="dxa"/>
            <w:gridSpan w:val="4"/>
          </w:tcPr>
          <w:p w:rsidR="003A0CD2" w:rsidRPr="003A0CD2" w:rsidRDefault="003A0CD2" w:rsidP="005C5AFD">
            <w:pPr>
              <w:pStyle w:val="TableParagraph"/>
              <w:spacing w:line="320" w:lineRule="exact"/>
              <w:ind w:left="4089" w:right="4080"/>
              <w:jc w:val="center"/>
              <w:rPr>
                <w:b/>
                <w:sz w:val="24"/>
                <w:szCs w:val="24"/>
              </w:rPr>
            </w:pPr>
            <w:r w:rsidRPr="003A0CD2">
              <w:rPr>
                <w:b/>
                <w:sz w:val="24"/>
                <w:szCs w:val="24"/>
              </w:rPr>
              <w:t>BİLGİ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1427" w:rsidRPr="003A0CD2">
              <w:rPr>
                <w:b/>
                <w:sz w:val="24"/>
                <w:szCs w:val="24"/>
              </w:rPr>
              <w:t>NOTU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E7023E" w:rsidTr="0047378C">
        <w:trPr>
          <w:trHeight w:val="273"/>
        </w:trPr>
        <w:tc>
          <w:tcPr>
            <w:tcW w:w="2968" w:type="dxa"/>
            <w:gridSpan w:val="2"/>
          </w:tcPr>
          <w:p w:rsidR="00E7023E" w:rsidRDefault="00695059" w:rsidP="0069505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   </w:t>
            </w:r>
            <w:r w:rsidR="00D21427">
              <w:rPr>
                <w:b/>
              </w:rPr>
              <w:t>KONU</w:t>
            </w:r>
          </w:p>
        </w:tc>
        <w:tc>
          <w:tcPr>
            <w:tcW w:w="6697" w:type="dxa"/>
            <w:gridSpan w:val="2"/>
          </w:tcPr>
          <w:p w:rsidR="00E7023E" w:rsidRPr="00B10A26" w:rsidRDefault="003562E2" w:rsidP="003562E2">
            <w:pPr>
              <w:pStyle w:val="TableParagraph"/>
              <w:tabs>
                <w:tab w:val="left" w:pos="1923"/>
              </w:tabs>
              <w:ind w:left="106" w:righ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2378E4" w:rsidRPr="002378E4">
              <w:rPr>
                <w:sz w:val="24"/>
                <w:szCs w:val="24"/>
              </w:rPr>
              <w:t>Akdeniz Orman</w:t>
            </w:r>
            <w:r>
              <w:rPr>
                <w:sz w:val="24"/>
                <w:szCs w:val="24"/>
              </w:rPr>
              <w:t>ları Hazırlık Komitesi Toplantısı</w:t>
            </w:r>
          </w:p>
        </w:tc>
      </w:tr>
      <w:tr w:rsidR="00E7023E" w:rsidTr="0047378C">
        <w:trPr>
          <w:trHeight w:val="437"/>
        </w:trPr>
        <w:tc>
          <w:tcPr>
            <w:tcW w:w="2968" w:type="dxa"/>
            <w:gridSpan w:val="2"/>
          </w:tcPr>
          <w:p w:rsidR="00E7023E" w:rsidRDefault="0055002F" w:rsidP="00A46D3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  </w:t>
            </w:r>
            <w:r w:rsidR="00695059">
              <w:rPr>
                <w:b/>
              </w:rPr>
              <w:t xml:space="preserve"> </w:t>
            </w:r>
            <w:r w:rsidR="00D21427">
              <w:rPr>
                <w:b/>
              </w:rPr>
              <w:t>TARİH</w:t>
            </w:r>
          </w:p>
        </w:tc>
        <w:tc>
          <w:tcPr>
            <w:tcW w:w="6697" w:type="dxa"/>
            <w:gridSpan w:val="2"/>
          </w:tcPr>
          <w:p w:rsidR="00E7023E" w:rsidRPr="00B10A26" w:rsidRDefault="003562E2" w:rsidP="003562E2">
            <w:pPr>
              <w:pStyle w:val="TableParagraph"/>
              <w:tabs>
                <w:tab w:val="left" w:pos="1923"/>
              </w:tabs>
              <w:ind w:left="106" w:righ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C5AFD" w:rsidRPr="005C5A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5C5AFD" w:rsidRPr="005C5AFD">
              <w:rPr>
                <w:sz w:val="24"/>
                <w:szCs w:val="24"/>
              </w:rPr>
              <w:t>2.2019</w:t>
            </w:r>
          </w:p>
        </w:tc>
      </w:tr>
    </w:tbl>
    <w:p w:rsidR="003562E2" w:rsidRPr="0095362E" w:rsidRDefault="003562E2" w:rsidP="003562E2">
      <w:pPr>
        <w:pStyle w:val="TableParagraph"/>
        <w:spacing w:before="3"/>
        <w:jc w:val="both"/>
        <w:rPr>
          <w:rFonts w:eastAsiaTheme="minorHAnsi"/>
          <w:sz w:val="24"/>
          <w:lang w:eastAsia="en-US" w:bidi="ar-SA"/>
        </w:rPr>
      </w:pPr>
      <w:r w:rsidRPr="0095362E">
        <w:rPr>
          <w:rFonts w:eastAsiaTheme="minorHAnsi"/>
          <w:sz w:val="24"/>
          <w:lang w:eastAsia="en-US" w:bidi="ar-SA"/>
        </w:rPr>
        <w:t>Gıda ve Tarım Teşkilatı’nın (FAO) Avrupa, Afrika ve Yakındoğu Bölgelerinden ülkel</w:t>
      </w:r>
      <w:r>
        <w:rPr>
          <w:rFonts w:eastAsiaTheme="minorHAnsi"/>
          <w:sz w:val="24"/>
          <w:lang w:eastAsia="en-US" w:bidi="ar-SA"/>
        </w:rPr>
        <w:t xml:space="preserve">erin katılımı ile kurulmuş bir </w:t>
      </w:r>
      <w:r w:rsidRPr="0095362E">
        <w:rPr>
          <w:rFonts w:eastAsiaTheme="minorHAnsi"/>
          <w:sz w:val="24"/>
          <w:lang w:eastAsia="en-US" w:bidi="ar-SA"/>
        </w:rPr>
        <w:t>teknik danışma organı</w:t>
      </w:r>
      <w:r>
        <w:rPr>
          <w:rFonts w:eastAsiaTheme="minorHAnsi"/>
          <w:sz w:val="24"/>
          <w:lang w:eastAsia="en-US" w:bidi="ar-SA"/>
        </w:rPr>
        <w:t xml:space="preserve"> olan </w:t>
      </w:r>
      <w:r w:rsidRPr="0095362E">
        <w:rPr>
          <w:rFonts w:eastAsiaTheme="minorHAnsi"/>
          <w:sz w:val="24"/>
          <w:lang w:eastAsia="en-US" w:bidi="ar-SA"/>
        </w:rPr>
        <w:t>Akdeniz Ormancılığı Meseleleri Komitesi</w:t>
      </w:r>
      <w:r>
        <w:rPr>
          <w:rFonts w:eastAsiaTheme="minorHAnsi"/>
          <w:sz w:val="24"/>
          <w:lang w:eastAsia="en-US" w:bidi="ar-SA"/>
        </w:rPr>
        <w:t>’nin (</w:t>
      </w:r>
      <w:proofErr w:type="spellStart"/>
      <w:r>
        <w:rPr>
          <w:rFonts w:eastAsiaTheme="minorHAnsi"/>
          <w:sz w:val="24"/>
          <w:lang w:eastAsia="en-US" w:bidi="ar-SA"/>
        </w:rPr>
        <w:t>SilvaMed</w:t>
      </w:r>
      <w:proofErr w:type="spellEnd"/>
      <w:r>
        <w:rPr>
          <w:rFonts w:eastAsiaTheme="minorHAnsi"/>
          <w:sz w:val="24"/>
          <w:lang w:eastAsia="en-US" w:bidi="ar-SA"/>
        </w:rPr>
        <w:t xml:space="preserve">) </w:t>
      </w:r>
      <w:r w:rsidRPr="0095362E">
        <w:rPr>
          <w:rFonts w:eastAsiaTheme="minorHAnsi"/>
          <w:sz w:val="24"/>
          <w:lang w:eastAsia="en-US" w:bidi="ar-SA"/>
        </w:rPr>
        <w:t>Türkiye 1948 yılında</w:t>
      </w:r>
      <w:r>
        <w:rPr>
          <w:rFonts w:eastAsiaTheme="minorHAnsi"/>
          <w:sz w:val="24"/>
          <w:lang w:eastAsia="en-US" w:bidi="ar-SA"/>
        </w:rPr>
        <w:t xml:space="preserve">n beri </w:t>
      </w:r>
      <w:r w:rsidRPr="0095362E">
        <w:rPr>
          <w:rFonts w:eastAsiaTheme="minorHAnsi"/>
          <w:sz w:val="24"/>
          <w:lang w:eastAsia="en-US" w:bidi="ar-SA"/>
        </w:rPr>
        <w:t>üye</w:t>
      </w:r>
      <w:r>
        <w:rPr>
          <w:rFonts w:eastAsiaTheme="minorHAnsi"/>
          <w:sz w:val="24"/>
          <w:lang w:eastAsia="en-US" w:bidi="ar-SA"/>
        </w:rPr>
        <w:t xml:space="preserve">si </w:t>
      </w:r>
      <w:r w:rsidRPr="0095362E">
        <w:rPr>
          <w:rFonts w:eastAsiaTheme="minorHAnsi"/>
          <w:sz w:val="24"/>
          <w:lang w:eastAsia="en-US" w:bidi="ar-SA"/>
        </w:rPr>
        <w:t>olmuştur.</w:t>
      </w:r>
      <w:r>
        <w:rPr>
          <w:rFonts w:eastAsiaTheme="minorHAnsi"/>
          <w:sz w:val="24"/>
          <w:lang w:eastAsia="en-US" w:bidi="ar-SA"/>
        </w:rPr>
        <w:t xml:space="preserve"> </w:t>
      </w:r>
      <w:r w:rsidRPr="0095362E">
        <w:rPr>
          <w:rFonts w:eastAsiaTheme="minorHAnsi"/>
          <w:sz w:val="24"/>
          <w:lang w:eastAsia="en-US" w:bidi="ar-SA"/>
        </w:rPr>
        <w:t>Ülkemiz kuruluşundan itibaren bu komitenin en aktif üyelerinden birisi olup,  21 Genel Kuruldan 4’üne ev sahipliği yapmıştır. 2010 yılında ilk “Akdeniz Orman Haftasını” Türkiye’de organize edilmiş</w:t>
      </w:r>
      <w:r>
        <w:rPr>
          <w:rFonts w:eastAsiaTheme="minorHAnsi"/>
          <w:sz w:val="24"/>
          <w:lang w:eastAsia="en-US" w:bidi="ar-SA"/>
        </w:rPr>
        <w:t>tir</w:t>
      </w:r>
      <w:r w:rsidRPr="0095362E">
        <w:rPr>
          <w:rFonts w:eastAsiaTheme="minorHAnsi"/>
          <w:sz w:val="24"/>
          <w:lang w:eastAsia="en-US" w:bidi="ar-SA"/>
        </w:rPr>
        <w:t>. Yine</w:t>
      </w:r>
      <w:r>
        <w:rPr>
          <w:rFonts w:eastAsiaTheme="minorHAnsi"/>
          <w:sz w:val="24"/>
          <w:lang w:eastAsia="en-US" w:bidi="ar-SA"/>
        </w:rPr>
        <w:t xml:space="preserve"> </w:t>
      </w:r>
      <w:r w:rsidRPr="0095362E">
        <w:rPr>
          <w:rFonts w:eastAsiaTheme="minorHAnsi"/>
          <w:sz w:val="24"/>
          <w:lang w:eastAsia="en-US" w:bidi="ar-SA"/>
        </w:rPr>
        <w:t>2010 yılında İstanbul’da “Akdeniz Ormancılığı İşbirliği Ortaklığı” sürecini başlatılmıştır.</w:t>
      </w:r>
    </w:p>
    <w:p w:rsidR="003562E2" w:rsidRDefault="003562E2" w:rsidP="003562E2">
      <w:pPr>
        <w:pStyle w:val="TableParagraph"/>
        <w:spacing w:before="3"/>
        <w:ind w:right="271"/>
        <w:jc w:val="both"/>
        <w:rPr>
          <w:sz w:val="24"/>
        </w:rPr>
      </w:pPr>
    </w:p>
    <w:p w:rsidR="005A6C97" w:rsidRDefault="003562E2" w:rsidP="003562E2">
      <w:pPr>
        <w:pStyle w:val="TableParagraph"/>
        <w:spacing w:before="3"/>
        <w:ind w:right="271"/>
        <w:jc w:val="both"/>
        <w:rPr>
          <w:sz w:val="24"/>
        </w:rPr>
      </w:pPr>
      <w:r>
        <w:rPr>
          <w:sz w:val="24"/>
        </w:rPr>
        <w:t xml:space="preserve">Lübnan’da düzenlenen </w:t>
      </w:r>
      <w:r w:rsidRPr="00603496">
        <w:rPr>
          <w:sz w:val="24"/>
        </w:rPr>
        <w:t xml:space="preserve">FAO </w:t>
      </w:r>
      <w:proofErr w:type="spellStart"/>
      <w:r>
        <w:rPr>
          <w:sz w:val="24"/>
        </w:rPr>
        <w:t>SilvaMed</w:t>
      </w:r>
      <w:proofErr w:type="spellEnd"/>
      <w:r w:rsidRPr="00603496">
        <w:rPr>
          <w:sz w:val="24"/>
        </w:rPr>
        <w:t xml:space="preserve"> 23. Oturumunda 2021 yılında Tunus’ta FAO 7. Akdeniz Ormanları Haftasının düzenlenmesi ve FAO bünyesinde 7. Akdeniz Ormanları Haftası Hazırlık Komitesi kurulması kararlaştırılmıştı</w:t>
      </w:r>
      <w:r>
        <w:rPr>
          <w:sz w:val="24"/>
        </w:rPr>
        <w:t>r</w:t>
      </w:r>
      <w:r w:rsidRPr="00603496">
        <w:rPr>
          <w:sz w:val="24"/>
        </w:rPr>
        <w:t>. Ülkemizin 8.Akdeniz Ormanları Haftası’nı (2023) düzenlemek için adaylığının destekleneceğinin belirtilmesi</w:t>
      </w:r>
      <w:r>
        <w:rPr>
          <w:sz w:val="24"/>
        </w:rPr>
        <w:t>,</w:t>
      </w:r>
      <w:r w:rsidRPr="00603496">
        <w:rPr>
          <w:sz w:val="24"/>
        </w:rPr>
        <w:t xml:space="preserve"> bu </w:t>
      </w:r>
      <w:r>
        <w:rPr>
          <w:sz w:val="24"/>
        </w:rPr>
        <w:t>süreçte etkin olması</w:t>
      </w:r>
      <w:r w:rsidRPr="00603496">
        <w:rPr>
          <w:sz w:val="24"/>
        </w:rPr>
        <w:t xml:space="preserve"> nedeniyle bu organizasyon komitesine Bakanlığımızın</w:t>
      </w:r>
      <w:r>
        <w:rPr>
          <w:sz w:val="24"/>
        </w:rPr>
        <w:t xml:space="preserve"> özellikle de Genel Müdürlüğümüzün</w:t>
      </w:r>
      <w:r w:rsidRPr="00603496">
        <w:rPr>
          <w:sz w:val="24"/>
        </w:rPr>
        <w:t xml:space="preserve"> dâhil olması iste</w:t>
      </w:r>
      <w:r>
        <w:rPr>
          <w:sz w:val="24"/>
        </w:rPr>
        <w:t>nmiştir.</w:t>
      </w:r>
    </w:p>
    <w:p w:rsidR="003562E2" w:rsidRDefault="003562E2" w:rsidP="003562E2">
      <w:pPr>
        <w:pStyle w:val="TableParagraph"/>
        <w:spacing w:before="3"/>
        <w:ind w:right="271"/>
        <w:jc w:val="both"/>
        <w:rPr>
          <w:sz w:val="24"/>
        </w:rPr>
      </w:pPr>
    </w:p>
    <w:p w:rsidR="003562E2" w:rsidRDefault="003562E2" w:rsidP="003562E2">
      <w:pPr>
        <w:jc w:val="both"/>
        <w:rPr>
          <w:sz w:val="24"/>
        </w:rPr>
      </w:pPr>
      <w:proofErr w:type="spellStart"/>
      <w:r>
        <w:rPr>
          <w:sz w:val="24"/>
        </w:rPr>
        <w:t>SilvaMed</w:t>
      </w:r>
      <w:proofErr w:type="spellEnd"/>
      <w:r>
        <w:rPr>
          <w:sz w:val="24"/>
        </w:rPr>
        <w:t xml:space="preserve"> yönetim kurulu toplantısında </w:t>
      </w:r>
      <w:r w:rsidRPr="00603496">
        <w:rPr>
          <w:sz w:val="24"/>
        </w:rPr>
        <w:t>7. Akdeniz Ormanları Haftasının</w:t>
      </w:r>
      <w:r>
        <w:rPr>
          <w:sz w:val="24"/>
        </w:rPr>
        <w:t xml:space="preserve"> Hazırlık Komitesinin çalışma takvimi belirlenmiş olup ilk toplantının 17-18 Aralık 2019 tarihlerinde Tunus’ta yapılması kararlaştırılmıştır.  Toplantının konusu organizasyon konuları ve buna bağlı olarak ev-sahibi ülkenin iş programı ve içeriğin belirlenmesi olacaktır. </w:t>
      </w:r>
    </w:p>
    <w:p w:rsidR="003562E2" w:rsidRDefault="003562E2" w:rsidP="003562E2">
      <w:pPr>
        <w:jc w:val="both"/>
        <w:rPr>
          <w:sz w:val="24"/>
        </w:rPr>
      </w:pPr>
    </w:p>
    <w:p w:rsidR="003562E2" w:rsidRDefault="003562E2" w:rsidP="003562E2">
      <w:pPr>
        <w:jc w:val="both"/>
        <w:rPr>
          <w:b/>
          <w:sz w:val="24"/>
        </w:rPr>
      </w:pPr>
      <w:r>
        <w:rPr>
          <w:b/>
          <w:sz w:val="24"/>
        </w:rPr>
        <w:t>Gündem:</w:t>
      </w:r>
    </w:p>
    <w:p w:rsidR="003562E2" w:rsidRDefault="003562E2" w:rsidP="003562E2">
      <w:pPr>
        <w:jc w:val="both"/>
        <w:rPr>
          <w:b/>
          <w:sz w:val="24"/>
        </w:rPr>
      </w:pPr>
      <w:r>
        <w:rPr>
          <w:b/>
          <w:sz w:val="24"/>
        </w:rPr>
        <w:t xml:space="preserve">1.Gün: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5"/>
        <w:gridCol w:w="7830"/>
      </w:tblGrid>
      <w:tr w:rsidR="003562E2" w:rsidTr="00C737EB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:rsidR="003562E2" w:rsidRDefault="003562E2" w:rsidP="00C737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.Gün</w:t>
            </w:r>
          </w:p>
        </w:tc>
      </w:tr>
      <w:tr w:rsidR="003562E2" w:rsidRPr="0055078E" w:rsidTr="00C737EB">
        <w:tc>
          <w:tcPr>
            <w:tcW w:w="1615" w:type="dxa"/>
          </w:tcPr>
          <w:p w:rsidR="003562E2" w:rsidRDefault="003562E2" w:rsidP="00C737EB">
            <w:pPr>
              <w:rPr>
                <w:lang w:val="en-US"/>
              </w:rPr>
            </w:pPr>
            <w:r>
              <w:rPr>
                <w:lang w:val="en-US"/>
              </w:rPr>
              <w:t>09:00-09:30</w:t>
            </w:r>
          </w:p>
        </w:tc>
        <w:tc>
          <w:tcPr>
            <w:tcW w:w="7830" w:type="dxa"/>
          </w:tcPr>
          <w:p w:rsidR="003562E2" w:rsidRPr="0055078E" w:rsidRDefault="003562E2" w:rsidP="003562E2">
            <w:pPr>
              <w:rPr>
                <w:lang w:val="en-US"/>
              </w:rPr>
            </w:pPr>
            <w:proofErr w:type="spellStart"/>
            <w:r w:rsidRPr="003562E2">
              <w:rPr>
                <w:lang w:val="en-US"/>
              </w:rPr>
              <w:t>Giriş</w:t>
            </w:r>
            <w:proofErr w:type="spellEnd"/>
            <w:r w:rsidRPr="003562E2">
              <w:rPr>
                <w:lang w:val="en-US"/>
              </w:rPr>
              <w:t xml:space="preserve"> ve </w:t>
            </w:r>
            <w:proofErr w:type="spellStart"/>
            <w:r w:rsidRPr="003562E2">
              <w:rPr>
                <w:lang w:val="en-US"/>
              </w:rPr>
              <w:t>içeri</w:t>
            </w:r>
            <w:r>
              <w:rPr>
                <w:lang w:val="en-US"/>
              </w:rPr>
              <w:t>ğin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belirlenmesi</w:t>
            </w:r>
            <w:proofErr w:type="spellEnd"/>
            <w:r w:rsidRPr="003562E2">
              <w:rPr>
                <w:lang w:val="en-US"/>
              </w:rPr>
              <w:t xml:space="preserve">: </w:t>
            </w:r>
            <w:proofErr w:type="spellStart"/>
            <w:r w:rsidRPr="003562E2">
              <w:rPr>
                <w:lang w:val="en-US"/>
              </w:rPr>
              <w:t>Büro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toplantısının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sonuçları</w:t>
            </w:r>
            <w:proofErr w:type="spellEnd"/>
            <w:r w:rsidRPr="003562E2">
              <w:rPr>
                <w:lang w:val="en-US"/>
              </w:rPr>
              <w:t xml:space="preserve">, OC1 </w:t>
            </w:r>
            <w:proofErr w:type="spellStart"/>
            <w:r w:rsidRPr="003562E2">
              <w:rPr>
                <w:lang w:val="en-US"/>
              </w:rPr>
              <w:t>toplantısının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amaçları</w:t>
            </w:r>
            <w:proofErr w:type="spellEnd"/>
          </w:p>
        </w:tc>
      </w:tr>
      <w:tr w:rsidR="003562E2" w:rsidRPr="0055078E" w:rsidTr="00C737EB">
        <w:tc>
          <w:tcPr>
            <w:tcW w:w="1615" w:type="dxa"/>
          </w:tcPr>
          <w:p w:rsidR="003562E2" w:rsidRDefault="003562E2" w:rsidP="00C737EB">
            <w:pPr>
              <w:rPr>
                <w:lang w:val="en-US"/>
              </w:rPr>
            </w:pPr>
            <w:r>
              <w:rPr>
                <w:lang w:val="en-US"/>
              </w:rPr>
              <w:t>09:30-11:15</w:t>
            </w:r>
          </w:p>
        </w:tc>
        <w:tc>
          <w:tcPr>
            <w:tcW w:w="7830" w:type="dxa"/>
          </w:tcPr>
          <w:p w:rsidR="003562E2" w:rsidRPr="003562E2" w:rsidRDefault="003562E2" w:rsidP="003562E2">
            <w:pPr>
              <w:rPr>
                <w:lang w:val="en-US"/>
              </w:rPr>
            </w:pPr>
            <w:r w:rsidRPr="003562E2">
              <w:rPr>
                <w:lang w:val="en-US"/>
              </w:rPr>
              <w:t xml:space="preserve">7. </w:t>
            </w:r>
            <w:proofErr w:type="spellStart"/>
            <w:r w:rsidRPr="003562E2">
              <w:rPr>
                <w:lang w:val="en-US"/>
              </w:rPr>
              <w:t>MFW'nin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Amacı</w:t>
            </w:r>
            <w:proofErr w:type="spellEnd"/>
            <w:r w:rsidRPr="003562E2">
              <w:rPr>
                <w:lang w:val="en-US"/>
              </w:rPr>
              <w:t xml:space="preserve"> ve Silva </w:t>
            </w:r>
            <w:proofErr w:type="spellStart"/>
            <w:r w:rsidRPr="003562E2">
              <w:rPr>
                <w:lang w:val="en-US"/>
              </w:rPr>
              <w:t>Mediterranea'nın</w:t>
            </w:r>
            <w:proofErr w:type="spellEnd"/>
            <w:r w:rsidRPr="003562E2">
              <w:rPr>
                <w:lang w:val="en-US"/>
              </w:rPr>
              <w:t xml:space="preserve"> 24. </w:t>
            </w:r>
            <w:proofErr w:type="spellStart"/>
            <w:r w:rsidRPr="003562E2">
              <w:rPr>
                <w:lang w:val="en-US"/>
              </w:rPr>
              <w:t>Oturumu</w:t>
            </w:r>
            <w:proofErr w:type="spellEnd"/>
          </w:p>
          <w:p w:rsidR="003562E2" w:rsidRPr="003562E2" w:rsidRDefault="003562E2" w:rsidP="003562E2">
            <w:pPr>
              <w:rPr>
                <w:lang w:val="en-US"/>
              </w:rPr>
            </w:pPr>
            <w:r>
              <w:rPr>
                <w:lang w:val="en-US"/>
              </w:rPr>
              <w:t xml:space="preserve">• 7. </w:t>
            </w:r>
            <w:proofErr w:type="spellStart"/>
            <w:r>
              <w:rPr>
                <w:lang w:val="en-US"/>
              </w:rPr>
              <w:t>MFW'nin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konusunun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belirlenme</w:t>
            </w:r>
            <w:r w:rsidRPr="003562E2">
              <w:rPr>
                <w:lang w:val="en-US"/>
              </w:rPr>
              <w:t>si</w:t>
            </w:r>
            <w:proofErr w:type="spellEnd"/>
            <w:r w:rsidRPr="003562E2">
              <w:rPr>
                <w:lang w:val="en-US"/>
              </w:rPr>
              <w:t xml:space="preserve">: </w:t>
            </w:r>
            <w:proofErr w:type="spellStart"/>
            <w:r w:rsidRPr="003562E2">
              <w:rPr>
                <w:lang w:val="en-US"/>
              </w:rPr>
              <w:t>Akdeniz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ormanlarında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gençliğin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rolü</w:t>
            </w:r>
            <w:proofErr w:type="spellEnd"/>
            <w:r w:rsidRPr="003562E2">
              <w:rPr>
                <w:lang w:val="en-US"/>
              </w:rPr>
              <w:t xml:space="preserve">: </w:t>
            </w:r>
            <w:proofErr w:type="spellStart"/>
            <w:r w:rsidRPr="003562E2">
              <w:rPr>
                <w:lang w:val="en-US"/>
              </w:rPr>
              <w:t>yeşil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işler</w:t>
            </w:r>
            <w:proofErr w:type="spellEnd"/>
            <w:r w:rsidRPr="003562E2">
              <w:rPr>
                <w:lang w:val="en-US"/>
              </w:rPr>
              <w:t xml:space="preserve"> ve </w:t>
            </w:r>
            <w:proofErr w:type="spellStart"/>
            <w:r w:rsidRPr="003562E2">
              <w:rPr>
                <w:lang w:val="en-US"/>
              </w:rPr>
              <w:t>yenilik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yaratma</w:t>
            </w:r>
            <w:proofErr w:type="spellEnd"/>
            <w:r w:rsidRPr="003562E2">
              <w:rPr>
                <w:lang w:val="en-US"/>
              </w:rPr>
              <w:t>.</w:t>
            </w:r>
          </w:p>
          <w:p w:rsidR="003562E2" w:rsidRPr="003562E2" w:rsidRDefault="003562E2" w:rsidP="003562E2">
            <w:pPr>
              <w:rPr>
                <w:lang w:val="en-US"/>
              </w:rPr>
            </w:pPr>
            <w:r w:rsidRPr="003562E2">
              <w:rPr>
                <w:lang w:val="en-US"/>
              </w:rPr>
              <w:t xml:space="preserve">• </w:t>
            </w:r>
            <w:proofErr w:type="spellStart"/>
            <w:r w:rsidRPr="003562E2">
              <w:rPr>
                <w:lang w:val="en-US"/>
              </w:rPr>
              <w:t>Konunun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geçerliliği</w:t>
            </w:r>
            <w:proofErr w:type="spellEnd"/>
          </w:p>
          <w:p w:rsidR="003562E2" w:rsidRPr="003562E2" w:rsidRDefault="003562E2" w:rsidP="003562E2">
            <w:pPr>
              <w:rPr>
                <w:lang w:val="en-US"/>
              </w:rPr>
            </w:pPr>
            <w:r w:rsidRPr="003562E2">
              <w:rPr>
                <w:lang w:val="en-US"/>
              </w:rPr>
              <w:t xml:space="preserve">• </w:t>
            </w:r>
            <w:proofErr w:type="spellStart"/>
            <w:r w:rsidRPr="003562E2">
              <w:rPr>
                <w:lang w:val="en-US"/>
              </w:rPr>
              <w:t>Üst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seviye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segmentin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beklenen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sonucu</w:t>
            </w:r>
            <w:proofErr w:type="spellEnd"/>
          </w:p>
          <w:p w:rsidR="003562E2" w:rsidRPr="0055078E" w:rsidRDefault="003562E2" w:rsidP="003562E2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lang w:val="en-US"/>
              </w:rPr>
            </w:pPr>
            <w:proofErr w:type="spellStart"/>
            <w:r w:rsidRPr="003562E2">
              <w:rPr>
                <w:lang w:val="en-US"/>
              </w:rPr>
              <w:t>Vurgulanması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gereken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ürünler</w:t>
            </w:r>
            <w:proofErr w:type="spellEnd"/>
            <w:r w:rsidRPr="003562E2">
              <w:rPr>
                <w:lang w:val="en-US"/>
              </w:rPr>
              <w:t xml:space="preserve"> (</w:t>
            </w:r>
            <w:proofErr w:type="spellStart"/>
            <w:r w:rsidRPr="003562E2">
              <w:rPr>
                <w:lang w:val="en-US"/>
              </w:rPr>
              <w:t>örneğin</w:t>
            </w:r>
            <w:proofErr w:type="spellEnd"/>
            <w:r w:rsidRPr="003562E2">
              <w:rPr>
                <w:lang w:val="en-US"/>
              </w:rPr>
              <w:t xml:space="preserve">, </w:t>
            </w:r>
            <w:proofErr w:type="spellStart"/>
            <w:r w:rsidRPr="003562E2">
              <w:rPr>
                <w:lang w:val="en-US"/>
              </w:rPr>
              <w:t>bilgi</w:t>
            </w:r>
            <w:proofErr w:type="spellEnd"/>
            <w:r w:rsidRPr="003562E2">
              <w:rPr>
                <w:lang w:val="en-US"/>
              </w:rPr>
              <w:t xml:space="preserve"> </w:t>
            </w:r>
            <w:proofErr w:type="spellStart"/>
            <w:r w:rsidRPr="003562E2">
              <w:rPr>
                <w:lang w:val="en-US"/>
              </w:rPr>
              <w:t>ürünü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3562E2" w:rsidRPr="0055078E" w:rsidTr="00C737EB">
        <w:tc>
          <w:tcPr>
            <w:tcW w:w="1615" w:type="dxa"/>
          </w:tcPr>
          <w:p w:rsidR="003562E2" w:rsidRDefault="003562E2" w:rsidP="00C737EB">
            <w:pPr>
              <w:rPr>
                <w:lang w:val="en-US"/>
              </w:rPr>
            </w:pPr>
            <w:r>
              <w:rPr>
                <w:lang w:val="en-US"/>
              </w:rPr>
              <w:t>11:15-13:00</w:t>
            </w:r>
          </w:p>
        </w:tc>
        <w:tc>
          <w:tcPr>
            <w:tcW w:w="7830" w:type="dxa"/>
          </w:tcPr>
          <w:p w:rsidR="003562E2" w:rsidRPr="009B76C6" w:rsidRDefault="003562E2" w:rsidP="009B76C6">
            <w:pPr>
              <w:widowControl/>
              <w:autoSpaceDE/>
              <w:autoSpaceDN/>
              <w:contextualSpacing/>
              <w:rPr>
                <w:lang w:val="en-US"/>
              </w:rPr>
            </w:pPr>
            <w:r>
              <w:rPr>
                <w:rStyle w:val="tlid-translation"/>
              </w:rPr>
              <w:t xml:space="preserve">7. </w:t>
            </w:r>
            <w:proofErr w:type="spellStart"/>
            <w:r>
              <w:rPr>
                <w:rStyle w:val="tlid-translation"/>
              </w:rPr>
              <w:t>MFW'nin</w:t>
            </w:r>
            <w:proofErr w:type="spellEnd"/>
            <w:r>
              <w:rPr>
                <w:rStyle w:val="tlid-translation"/>
              </w:rPr>
              <w:t xml:space="preserve"> Yapısı ve </w:t>
            </w:r>
            <w:proofErr w:type="spellStart"/>
            <w:r>
              <w:rPr>
                <w:rStyle w:val="tlid-translation"/>
              </w:rPr>
              <w:t>Silva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Mediterranea'nın</w:t>
            </w:r>
            <w:proofErr w:type="spellEnd"/>
            <w:r>
              <w:rPr>
                <w:rStyle w:val="tlid-translation"/>
              </w:rPr>
              <w:t xml:space="preserve"> 24. Oturumu</w:t>
            </w:r>
            <w:r>
              <w:br/>
            </w:r>
            <w:r>
              <w:rPr>
                <w:rStyle w:val="tlid-translation"/>
              </w:rPr>
              <w:t>• Doğrudan OC tarafından düzenlenecek oturumlar</w:t>
            </w:r>
            <w:r>
              <w:br/>
            </w:r>
            <w:r>
              <w:rPr>
                <w:rStyle w:val="tlid-translation"/>
              </w:rPr>
              <w:t xml:space="preserve">• Oturumları düzenlemek için ortak </w:t>
            </w:r>
            <w:r w:rsidR="009B76C6">
              <w:rPr>
                <w:rStyle w:val="tlid-translation"/>
              </w:rPr>
              <w:t>paydaşlara</w:t>
            </w:r>
            <w:r>
              <w:rPr>
                <w:rStyle w:val="tlid-translation"/>
              </w:rPr>
              <w:t xml:space="preserve"> çağrı yapılması</w:t>
            </w:r>
            <w:r>
              <w:br/>
            </w:r>
            <w:r>
              <w:rPr>
                <w:rStyle w:val="tlid-translation"/>
              </w:rPr>
              <w:t>• Yan etkinlikler</w:t>
            </w:r>
          </w:p>
        </w:tc>
      </w:tr>
      <w:tr w:rsidR="003562E2" w:rsidRPr="0055078E" w:rsidTr="00C737EB">
        <w:tc>
          <w:tcPr>
            <w:tcW w:w="1615" w:type="dxa"/>
          </w:tcPr>
          <w:p w:rsidR="003562E2" w:rsidRDefault="003562E2" w:rsidP="00C737EB">
            <w:pPr>
              <w:rPr>
                <w:lang w:val="en-US"/>
              </w:rPr>
            </w:pPr>
            <w:r>
              <w:rPr>
                <w:lang w:val="en-US"/>
              </w:rPr>
              <w:t>14:30-16:00</w:t>
            </w:r>
          </w:p>
        </w:tc>
        <w:tc>
          <w:tcPr>
            <w:tcW w:w="7830" w:type="dxa"/>
          </w:tcPr>
          <w:p w:rsidR="003562E2" w:rsidRPr="009B76C6" w:rsidRDefault="009B76C6" w:rsidP="009B76C6">
            <w:pPr>
              <w:widowControl/>
              <w:autoSpaceDE/>
              <w:autoSpaceDN/>
              <w:contextualSpacing/>
              <w:rPr>
                <w:lang w:val="en-US"/>
              </w:rPr>
            </w:pPr>
            <w:r>
              <w:rPr>
                <w:rStyle w:val="tlid-translation"/>
              </w:rPr>
              <w:t>Bütçe</w:t>
            </w:r>
            <w:r>
              <w:br/>
            </w:r>
            <w:r>
              <w:rPr>
                <w:rStyle w:val="tlid-translation"/>
              </w:rPr>
              <w:t>• Maddi ve insan kaynakları ihtiyaçlarının gözden geçirilmesi</w:t>
            </w:r>
            <w:r>
              <w:br/>
            </w:r>
            <w:r>
              <w:rPr>
                <w:rStyle w:val="tlid-translation"/>
              </w:rPr>
              <w:t>• Maliyetlerin tahmini</w:t>
            </w:r>
            <w:r>
              <w:br/>
            </w:r>
            <w:r>
              <w:rPr>
                <w:rStyle w:val="tlid-translation"/>
              </w:rPr>
              <w:t xml:space="preserve">• Fon toplama stratejisi (mevcut projeler, </w:t>
            </w:r>
            <w:proofErr w:type="gramStart"/>
            <w:r>
              <w:rPr>
                <w:rStyle w:val="tlid-translation"/>
              </w:rPr>
              <w:t>sponsorlar</w:t>
            </w:r>
            <w:proofErr w:type="gramEnd"/>
            <w:r>
              <w:rPr>
                <w:rStyle w:val="tlid-translation"/>
              </w:rPr>
              <w:t>)</w:t>
            </w:r>
          </w:p>
        </w:tc>
      </w:tr>
      <w:tr w:rsidR="003562E2" w:rsidTr="00C737EB">
        <w:tc>
          <w:tcPr>
            <w:tcW w:w="1615" w:type="dxa"/>
          </w:tcPr>
          <w:p w:rsidR="003562E2" w:rsidRDefault="003562E2" w:rsidP="00C737EB">
            <w:pPr>
              <w:rPr>
                <w:lang w:val="en-US"/>
              </w:rPr>
            </w:pPr>
            <w:r>
              <w:rPr>
                <w:lang w:val="en-US"/>
              </w:rPr>
              <w:t>16:00-17:00</w:t>
            </w:r>
          </w:p>
        </w:tc>
        <w:tc>
          <w:tcPr>
            <w:tcW w:w="7830" w:type="dxa"/>
          </w:tcPr>
          <w:p w:rsidR="003562E2" w:rsidRDefault="00122B0F" w:rsidP="00C737EB">
            <w:pPr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Silva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Mediterranea'nın</w:t>
            </w:r>
            <w:proofErr w:type="spellEnd"/>
            <w:r>
              <w:rPr>
                <w:rStyle w:val="tlid-translation"/>
              </w:rPr>
              <w:t xml:space="preserve"> 23. oturumunun önerilerinin</w:t>
            </w:r>
            <w:r>
              <w:rPr>
                <w:rStyle w:val="tlid-translation"/>
              </w:rPr>
              <w:t xml:space="preserve"> ve</w:t>
            </w:r>
            <w:r>
              <w:rPr>
                <w:rStyle w:val="tlid-translation"/>
              </w:rPr>
              <w:t xml:space="preserve"> kararlarının uygulanmasındaki ilerleme</w:t>
            </w:r>
          </w:p>
        </w:tc>
      </w:tr>
      <w:tr w:rsidR="003562E2" w:rsidTr="00C737EB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:rsidR="003562E2" w:rsidRDefault="003562E2" w:rsidP="00C737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</w:tr>
      <w:tr w:rsidR="003562E2" w:rsidTr="00C737EB">
        <w:tc>
          <w:tcPr>
            <w:tcW w:w="1615" w:type="dxa"/>
          </w:tcPr>
          <w:p w:rsidR="003562E2" w:rsidRDefault="003562E2" w:rsidP="00C737EB">
            <w:pPr>
              <w:rPr>
                <w:lang w:val="en-US"/>
              </w:rPr>
            </w:pPr>
            <w:r>
              <w:rPr>
                <w:lang w:val="en-US"/>
              </w:rPr>
              <w:t>09:00-09:30</w:t>
            </w:r>
          </w:p>
        </w:tc>
        <w:tc>
          <w:tcPr>
            <w:tcW w:w="7830" w:type="dxa"/>
          </w:tcPr>
          <w:p w:rsidR="003562E2" w:rsidRDefault="00122B0F" w:rsidP="00122B0F">
            <w:pPr>
              <w:rPr>
                <w:lang w:val="en-US"/>
              </w:rPr>
            </w:pPr>
            <w:r>
              <w:rPr>
                <w:rStyle w:val="tlid-translation"/>
              </w:rPr>
              <w:t xml:space="preserve">Yer ve </w:t>
            </w:r>
            <w:r>
              <w:rPr>
                <w:rStyle w:val="tlid-translation"/>
              </w:rPr>
              <w:t>ev sahipliği</w:t>
            </w:r>
            <w:r>
              <w:rPr>
                <w:rStyle w:val="tlid-translation"/>
              </w:rPr>
              <w:t xml:space="preserve"> sözleşmesi</w:t>
            </w:r>
          </w:p>
        </w:tc>
      </w:tr>
      <w:tr w:rsidR="003562E2" w:rsidTr="00C737EB">
        <w:tc>
          <w:tcPr>
            <w:tcW w:w="1615" w:type="dxa"/>
          </w:tcPr>
          <w:p w:rsidR="003562E2" w:rsidRDefault="003562E2" w:rsidP="00C737EB">
            <w:pPr>
              <w:rPr>
                <w:lang w:val="en-US"/>
              </w:rPr>
            </w:pPr>
            <w:r>
              <w:rPr>
                <w:lang w:val="en-US"/>
              </w:rPr>
              <w:t>09:30-11:00</w:t>
            </w:r>
          </w:p>
        </w:tc>
        <w:tc>
          <w:tcPr>
            <w:tcW w:w="7830" w:type="dxa"/>
          </w:tcPr>
          <w:p w:rsidR="003562E2" w:rsidRDefault="00122B0F" w:rsidP="00C737EB">
            <w:pPr>
              <w:rPr>
                <w:lang w:val="en-US"/>
              </w:rPr>
            </w:pPr>
            <w:r>
              <w:rPr>
                <w:rStyle w:val="tlid-translation"/>
              </w:rPr>
              <w:t xml:space="preserve">İletişim planı (basın bültenleri, basın toplantıları, 6. </w:t>
            </w:r>
            <w:proofErr w:type="spellStart"/>
            <w:r>
              <w:rPr>
                <w:rStyle w:val="tlid-translation"/>
              </w:rPr>
              <w:t>MFW'deki</w:t>
            </w:r>
            <w:proofErr w:type="spellEnd"/>
            <w:r>
              <w:rPr>
                <w:rStyle w:val="tlid-translation"/>
              </w:rPr>
              <w:t xml:space="preserve"> gazetecilerin katılımı), </w:t>
            </w:r>
            <w:r>
              <w:rPr>
                <w:rStyle w:val="tlid-translation"/>
              </w:rPr>
              <w:lastRenderedPageBreak/>
              <w:t>sosyal medya, fotoğraflar, duyurular ve tanıtımlar, iletişim ile ilgili diğer etkinlikler (posterler, yerel ürünlerin tanıtımı, fotoğraf yarışması, videolar)</w:t>
            </w:r>
          </w:p>
        </w:tc>
      </w:tr>
      <w:tr w:rsidR="003562E2" w:rsidRPr="00D81560" w:rsidTr="00C737EB">
        <w:tc>
          <w:tcPr>
            <w:tcW w:w="1615" w:type="dxa"/>
          </w:tcPr>
          <w:p w:rsidR="003562E2" w:rsidRDefault="003562E2" w:rsidP="00C737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11:00-13:00</w:t>
            </w:r>
          </w:p>
        </w:tc>
        <w:tc>
          <w:tcPr>
            <w:tcW w:w="7830" w:type="dxa"/>
          </w:tcPr>
          <w:p w:rsidR="003562E2" w:rsidRPr="00122B0F" w:rsidRDefault="00122B0F" w:rsidP="00122B0F">
            <w:pPr>
              <w:widowControl/>
              <w:autoSpaceDE/>
              <w:autoSpaceDN/>
              <w:contextualSpacing/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Organizasyonel</w:t>
            </w:r>
            <w:proofErr w:type="spellEnd"/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görevler</w:t>
            </w:r>
            <w:r>
              <w:br/>
            </w:r>
            <w:r>
              <w:rPr>
                <w:rStyle w:val="tlid-translation"/>
              </w:rPr>
              <w:t>• Mekan</w:t>
            </w:r>
            <w:r>
              <w:br/>
            </w:r>
            <w:r>
              <w:rPr>
                <w:rStyle w:val="tlid-translation"/>
              </w:rPr>
              <w:t xml:space="preserve">• </w:t>
            </w:r>
            <w:proofErr w:type="spellStart"/>
            <w:r>
              <w:rPr>
                <w:rStyle w:val="tlid-translation"/>
              </w:rPr>
              <w:t>Sekreterya</w:t>
            </w:r>
            <w:proofErr w:type="spellEnd"/>
            <w:r>
              <w:rPr>
                <w:rStyle w:val="tlid-translation"/>
              </w:rPr>
              <w:t xml:space="preserve"> oluşumu ve rolü</w:t>
            </w:r>
            <w:r>
              <w:br/>
            </w:r>
            <w:r>
              <w:rPr>
                <w:rStyle w:val="tlid-translation"/>
              </w:rPr>
              <w:t xml:space="preserve">• 7. </w:t>
            </w:r>
            <w:proofErr w:type="spellStart"/>
            <w:r>
              <w:rPr>
                <w:rStyle w:val="tlid-translation"/>
              </w:rPr>
              <w:t>MFW'nin</w:t>
            </w:r>
            <w:proofErr w:type="spellEnd"/>
            <w:r>
              <w:rPr>
                <w:rStyle w:val="tlid-translation"/>
              </w:rPr>
              <w:t xml:space="preserve"> görsel kimliği: </w:t>
            </w:r>
            <w:proofErr w:type="gramStart"/>
            <w:r>
              <w:rPr>
                <w:rStyle w:val="tlid-translation"/>
              </w:rPr>
              <w:t>logo</w:t>
            </w:r>
            <w:proofErr w:type="gramEnd"/>
            <w:r>
              <w:rPr>
                <w:rStyle w:val="tlid-translation"/>
              </w:rPr>
              <w:t>, broşür, kitapçık</w:t>
            </w:r>
            <w:r>
              <w:br/>
            </w:r>
            <w:r>
              <w:rPr>
                <w:rStyle w:val="tlid-translation"/>
              </w:rPr>
              <w:t>• Web sitesi</w:t>
            </w:r>
            <w:r>
              <w:br/>
            </w:r>
            <w:r>
              <w:rPr>
                <w:rStyle w:val="tlid-translation"/>
              </w:rPr>
              <w:t>• Eko-sorumluluk / karbon telafisi önlemleri</w:t>
            </w:r>
          </w:p>
        </w:tc>
      </w:tr>
      <w:tr w:rsidR="003562E2" w:rsidTr="00C737EB">
        <w:tc>
          <w:tcPr>
            <w:tcW w:w="1615" w:type="dxa"/>
          </w:tcPr>
          <w:p w:rsidR="003562E2" w:rsidRDefault="003562E2" w:rsidP="00C737EB">
            <w:pPr>
              <w:rPr>
                <w:lang w:val="en-US"/>
              </w:rPr>
            </w:pPr>
            <w:r>
              <w:rPr>
                <w:lang w:val="en-US"/>
              </w:rPr>
              <w:t>13:00-13:30</w:t>
            </w:r>
          </w:p>
        </w:tc>
        <w:tc>
          <w:tcPr>
            <w:tcW w:w="7830" w:type="dxa"/>
          </w:tcPr>
          <w:p w:rsidR="003562E2" w:rsidRDefault="00122B0F" w:rsidP="00C737EB">
            <w:pPr>
              <w:rPr>
                <w:lang w:val="en-US"/>
              </w:rPr>
            </w:pPr>
            <w:proofErr w:type="spellStart"/>
            <w:r w:rsidRPr="00122B0F">
              <w:rPr>
                <w:lang w:val="en-US"/>
              </w:rPr>
              <w:t>Sonraki</w:t>
            </w:r>
            <w:proofErr w:type="spellEnd"/>
            <w:r w:rsidRPr="00122B0F">
              <w:rPr>
                <w:lang w:val="en-US"/>
              </w:rPr>
              <w:t xml:space="preserve"> </w:t>
            </w:r>
            <w:proofErr w:type="spellStart"/>
            <w:r w:rsidRPr="00122B0F">
              <w:rPr>
                <w:lang w:val="en-US"/>
              </w:rPr>
              <w:t>adımlar</w:t>
            </w:r>
            <w:proofErr w:type="spellEnd"/>
            <w:r w:rsidRPr="00122B0F">
              <w:rPr>
                <w:lang w:val="en-US"/>
              </w:rPr>
              <w:t xml:space="preserve"> ve </w:t>
            </w:r>
            <w:proofErr w:type="spellStart"/>
            <w:r w:rsidRPr="00122B0F">
              <w:rPr>
                <w:lang w:val="en-US"/>
              </w:rPr>
              <w:t>kilometre</w:t>
            </w:r>
            <w:proofErr w:type="spellEnd"/>
            <w:r w:rsidRPr="00122B0F">
              <w:rPr>
                <w:lang w:val="en-US"/>
              </w:rPr>
              <w:t xml:space="preserve"> taşları</w:t>
            </w:r>
            <w:bookmarkStart w:id="0" w:name="_GoBack"/>
            <w:bookmarkEnd w:id="0"/>
          </w:p>
        </w:tc>
      </w:tr>
    </w:tbl>
    <w:p w:rsidR="003562E2" w:rsidRDefault="003562E2" w:rsidP="003562E2">
      <w:pPr>
        <w:jc w:val="both"/>
        <w:rPr>
          <w:b/>
          <w:sz w:val="24"/>
        </w:rPr>
      </w:pPr>
    </w:p>
    <w:p w:rsidR="003562E2" w:rsidRDefault="003562E2" w:rsidP="003562E2">
      <w:pPr>
        <w:jc w:val="both"/>
        <w:rPr>
          <w:b/>
          <w:sz w:val="24"/>
        </w:rPr>
      </w:pPr>
    </w:p>
    <w:p w:rsidR="003562E2" w:rsidRDefault="003562E2" w:rsidP="003562E2">
      <w:pPr>
        <w:jc w:val="both"/>
        <w:rPr>
          <w:b/>
          <w:sz w:val="24"/>
        </w:rPr>
      </w:pPr>
      <w:r w:rsidRPr="003562E2">
        <w:rPr>
          <w:b/>
          <w:sz w:val="24"/>
        </w:rPr>
        <w:t>TUNUS-OGM İşbirliği</w:t>
      </w:r>
      <w:r>
        <w:rPr>
          <w:b/>
          <w:sz w:val="24"/>
        </w:rPr>
        <w:t xml:space="preserve"> Kapsamında Yapılanlar</w:t>
      </w:r>
    </w:p>
    <w:p w:rsidR="003562E2" w:rsidRPr="003562E2" w:rsidRDefault="003562E2" w:rsidP="003562E2">
      <w:pPr>
        <w:jc w:val="both"/>
        <w:rPr>
          <w:b/>
          <w:sz w:val="24"/>
        </w:rPr>
      </w:pPr>
    </w:p>
    <w:p w:rsidR="003562E2" w:rsidRDefault="003562E2" w:rsidP="003562E2">
      <w:pPr>
        <w:jc w:val="both"/>
        <w:rPr>
          <w:sz w:val="24"/>
          <w:szCs w:val="24"/>
        </w:rPr>
      </w:pPr>
      <w:r w:rsidRPr="006839F2">
        <w:rPr>
          <w:sz w:val="24"/>
          <w:szCs w:val="24"/>
        </w:rPr>
        <w:t xml:space="preserve">Federal Almanya Ekonomik Kalkınma ve İşbirliği Bakanlığı’nın </w:t>
      </w:r>
      <w:r>
        <w:rPr>
          <w:sz w:val="24"/>
          <w:szCs w:val="24"/>
        </w:rPr>
        <w:t xml:space="preserve">(GIZ) </w:t>
      </w:r>
      <w:r w:rsidRPr="006839F2">
        <w:rPr>
          <w:sz w:val="24"/>
          <w:szCs w:val="24"/>
        </w:rPr>
        <w:t xml:space="preserve">finansal desteğiyle </w:t>
      </w:r>
      <w:r>
        <w:rPr>
          <w:sz w:val="24"/>
          <w:szCs w:val="24"/>
        </w:rPr>
        <w:t>2010-2014 yılları arasında gerçekleştirilmiş olan</w:t>
      </w:r>
      <w:r w:rsidRPr="006839F2">
        <w:rPr>
          <w:sz w:val="24"/>
          <w:szCs w:val="24"/>
        </w:rPr>
        <w:t xml:space="preserve"> </w:t>
      </w:r>
      <w:r w:rsidRPr="007D6D8F">
        <w:rPr>
          <w:sz w:val="24"/>
          <w:szCs w:val="24"/>
        </w:rPr>
        <w:t>“Akdeniz ve Kuzey Afrika (MENA) Bölgesinde Ormancılık Politikalarının İklim Değişikliğine Adaptasyonu Projesi’nde</w:t>
      </w:r>
      <w:r w:rsidRPr="006839F2">
        <w:rPr>
          <w:sz w:val="24"/>
          <w:szCs w:val="24"/>
        </w:rPr>
        <w:t xml:space="preserve"> Türkiye ve </w:t>
      </w:r>
      <w:r>
        <w:rPr>
          <w:sz w:val="24"/>
          <w:szCs w:val="24"/>
        </w:rPr>
        <w:t xml:space="preserve">Tunus </w:t>
      </w:r>
      <w:r w:rsidRPr="006839F2">
        <w:rPr>
          <w:sz w:val="24"/>
          <w:szCs w:val="24"/>
        </w:rPr>
        <w:t xml:space="preserve">projenin paydaş ülkeleri arasında yer </w:t>
      </w:r>
      <w:r>
        <w:rPr>
          <w:sz w:val="24"/>
          <w:szCs w:val="24"/>
        </w:rPr>
        <w:t>almıştır</w:t>
      </w:r>
      <w:r w:rsidRPr="006839F2">
        <w:rPr>
          <w:sz w:val="24"/>
          <w:szCs w:val="24"/>
        </w:rPr>
        <w:t xml:space="preserve">. Bu projenin amacı; orman ekosistemlerinin sürdürülebilir yönetimi için iklim değişikliği ile mücadele döngüsünde yer alan Akdeniz bölgesindeki büyük hacimli orman alanlarına sahip ülkelerin ormanla ilişkili çevresel hizmetlerinin korunması için politik çerçevelerin geliştirilmesidir. Proje; ilgili ülkelerin (Fas, </w:t>
      </w:r>
      <w:proofErr w:type="spellStart"/>
      <w:proofErr w:type="gramStart"/>
      <w:r w:rsidRPr="006839F2">
        <w:rPr>
          <w:sz w:val="24"/>
          <w:szCs w:val="24"/>
        </w:rPr>
        <w:t>Cezayir,Tunus</w:t>
      </w:r>
      <w:proofErr w:type="gramEnd"/>
      <w:r w:rsidRPr="006839F2">
        <w:rPr>
          <w:sz w:val="24"/>
          <w:szCs w:val="24"/>
        </w:rPr>
        <w:t>,Türkiye,Suriye</w:t>
      </w:r>
      <w:proofErr w:type="spellEnd"/>
      <w:r w:rsidRPr="006839F2">
        <w:rPr>
          <w:sz w:val="24"/>
          <w:szCs w:val="24"/>
        </w:rPr>
        <w:t xml:space="preserve"> ve Lübnan), FAO </w:t>
      </w:r>
      <w:proofErr w:type="spellStart"/>
      <w:r w:rsidRPr="006839F2">
        <w:rPr>
          <w:sz w:val="24"/>
          <w:szCs w:val="24"/>
        </w:rPr>
        <w:t>Silvamed</w:t>
      </w:r>
      <w:proofErr w:type="spellEnd"/>
      <w:r w:rsidRPr="006839F2">
        <w:rPr>
          <w:sz w:val="24"/>
          <w:szCs w:val="24"/>
        </w:rPr>
        <w:t xml:space="preserve"> ve diğer işbirliği ortaklarının orman yönetiminde adaptasyon için dış desteğe ihtiyaç oldu</w:t>
      </w:r>
      <w:r>
        <w:rPr>
          <w:sz w:val="24"/>
          <w:szCs w:val="24"/>
        </w:rPr>
        <w:t xml:space="preserve">ğu ortak görüşüne dayanmaktadır. MENA kapsamında </w:t>
      </w:r>
      <w:r w:rsidRPr="00D52ABC">
        <w:rPr>
          <w:sz w:val="24"/>
          <w:szCs w:val="24"/>
        </w:rPr>
        <w:t>4-7 Kasım 2014</w:t>
      </w:r>
      <w:r>
        <w:rPr>
          <w:sz w:val="24"/>
          <w:szCs w:val="24"/>
        </w:rPr>
        <w:t xml:space="preserve"> tarihlerinde </w:t>
      </w:r>
      <w:r w:rsidRPr="00D52ABC">
        <w:rPr>
          <w:sz w:val="24"/>
          <w:szCs w:val="24"/>
        </w:rPr>
        <w:t>Tunus Ulusal Ormancılık Günü organizasyonunun “MENA Bölgesinde Ormancılık” konulu panellerine katılım sağlanmıştır. Tunus yetkilileri, Tunus ormancılık kurumu ile ülkemiz arasında ormancılık alanında işbirliğini artırmak amacıyla Türkiye’yi ziyaret taleplerini bildirmişlerdir.</w:t>
      </w:r>
      <w:r>
        <w:rPr>
          <w:sz w:val="24"/>
          <w:szCs w:val="24"/>
        </w:rPr>
        <w:t xml:space="preserve"> Bahis geçen ziyaret gerçekleştirilmiştir.</w:t>
      </w:r>
    </w:p>
    <w:p w:rsidR="003562E2" w:rsidRDefault="003562E2" w:rsidP="003562E2">
      <w:pPr>
        <w:jc w:val="both"/>
        <w:rPr>
          <w:sz w:val="24"/>
          <w:szCs w:val="24"/>
        </w:rPr>
      </w:pPr>
      <w:r w:rsidRPr="007D6D8F">
        <w:rPr>
          <w:sz w:val="24"/>
          <w:szCs w:val="24"/>
        </w:rPr>
        <w:t xml:space="preserve">Fransız Küresel Çevre Kuruluşu (FFEM) tarafından </w:t>
      </w:r>
      <w:r>
        <w:rPr>
          <w:sz w:val="24"/>
          <w:szCs w:val="24"/>
        </w:rPr>
        <w:t xml:space="preserve">2010-2014 </w:t>
      </w:r>
      <w:r w:rsidRPr="007D6D8F">
        <w:rPr>
          <w:sz w:val="24"/>
          <w:szCs w:val="24"/>
        </w:rPr>
        <w:t xml:space="preserve">desteklenen </w:t>
      </w:r>
      <w:r>
        <w:rPr>
          <w:sz w:val="24"/>
          <w:szCs w:val="24"/>
        </w:rPr>
        <w:t>“</w:t>
      </w:r>
      <w:r w:rsidRPr="007D6D8F">
        <w:rPr>
          <w:sz w:val="24"/>
          <w:szCs w:val="24"/>
        </w:rPr>
        <w:t>Akdeniz Orman Ekosistemlerinin Mal ve Hizmet Üretiminin Küresel Değişiklikler Bağ</w:t>
      </w:r>
      <w:r>
        <w:rPr>
          <w:sz w:val="24"/>
          <w:szCs w:val="24"/>
        </w:rPr>
        <w:t>lamında İyileştirilmesi Projesi”</w:t>
      </w:r>
      <w:r w:rsidRPr="007D6D8F">
        <w:rPr>
          <w:sz w:val="24"/>
          <w:szCs w:val="24"/>
        </w:rPr>
        <w:t xml:space="preserve"> kapsamında paydaş </w:t>
      </w:r>
      <w:r>
        <w:rPr>
          <w:sz w:val="24"/>
          <w:szCs w:val="24"/>
        </w:rPr>
        <w:t>ülkeler içerisinde Tunus’</w:t>
      </w:r>
      <w:r w:rsidRPr="007D6D8F">
        <w:rPr>
          <w:sz w:val="24"/>
          <w:szCs w:val="24"/>
        </w:rPr>
        <w:t xml:space="preserve">ta bulunmaktadır. Projenin amacı; Akdeniz orman ekosistemlerinin iklim değişikliğine karşı hassasiyeti ve adaptasyon kapasitesine ilişkin verilerin üretilmesi ve yasal araçların geliştirilmesi, Ekosistem ürün ve hizmetlerinin önemine yönelik farkındalık oluşturulması ve karar alma süreçlerine </w:t>
      </w:r>
      <w:proofErr w:type="gramStart"/>
      <w:r w:rsidRPr="007D6D8F">
        <w:rPr>
          <w:sz w:val="24"/>
          <w:szCs w:val="24"/>
        </w:rPr>
        <w:t>dahil</w:t>
      </w:r>
      <w:proofErr w:type="gramEnd"/>
      <w:r w:rsidRPr="007D6D8F">
        <w:rPr>
          <w:sz w:val="24"/>
          <w:szCs w:val="24"/>
        </w:rPr>
        <w:t xml:space="preserve"> edilmeleri yönünde bir örnek model oluşturulması, Orman işlevlerinin öncelikleri konusunda, ilgi grupları arasında bilgi ve görüşleri paylaşmak ve </w:t>
      </w:r>
      <w:proofErr w:type="spellStart"/>
      <w:r w:rsidRPr="007D6D8F">
        <w:rPr>
          <w:sz w:val="24"/>
          <w:szCs w:val="24"/>
        </w:rPr>
        <w:t>Düzlerçamı</w:t>
      </w:r>
      <w:proofErr w:type="spellEnd"/>
      <w:r w:rsidRPr="007D6D8F">
        <w:rPr>
          <w:sz w:val="24"/>
          <w:szCs w:val="24"/>
        </w:rPr>
        <w:t xml:space="preserve"> pilot sahasında ormansızlaşmanın, orman bozulmasının ve bunları tetikleyen faktörlerin belirlenmesidir.</w:t>
      </w:r>
    </w:p>
    <w:p w:rsidR="003562E2" w:rsidRPr="00E87BE9" w:rsidRDefault="003562E2" w:rsidP="003562E2">
      <w:pPr>
        <w:jc w:val="both"/>
        <w:rPr>
          <w:sz w:val="24"/>
          <w:szCs w:val="24"/>
        </w:rPr>
      </w:pPr>
      <w:r w:rsidRPr="00E87BE9">
        <w:rPr>
          <w:sz w:val="24"/>
          <w:szCs w:val="24"/>
        </w:rPr>
        <w:t xml:space="preserve">6 Haziran 2013 tarihinde Tunus’ta Türkiye-Tunus Ormancılık ve Su alanında İşbirliği anlaşması imzalanmıştır. </w:t>
      </w:r>
    </w:p>
    <w:p w:rsidR="003562E2" w:rsidRPr="00E87BE9" w:rsidRDefault="003562E2" w:rsidP="003562E2">
      <w:pPr>
        <w:jc w:val="both"/>
        <w:rPr>
          <w:sz w:val="24"/>
          <w:szCs w:val="24"/>
        </w:rPr>
      </w:pPr>
      <w:r w:rsidRPr="00E87BE9">
        <w:rPr>
          <w:sz w:val="24"/>
          <w:szCs w:val="24"/>
        </w:rPr>
        <w:t>Ülkemiz ile Tunus Cumhuriyeti arasında 6 Haziran 2013 tarihinde imzalanan “Ormancılık Alanında İşbirliği Anlaşması” kapsamında 6 kişiden oluşan Tunus Ormancılık Heyeti, Genel Müdürlüğümüzü 10-13 Mart 2015 tarihleri arasında ziyaret etmiştir. Ayrıca ÇEM Genel Müdürlüğü ile Konya OBM ziyaret edilmiştir. Ziyaret konuları; Türk Ulusal Ormancılık Programı ve ilgili politika ve stratejileri, Orman yönetimi, Orman yangın yönetimi, Ormancılık mevzuatı, Orman alanında verilen izinler vb. konular.</w:t>
      </w:r>
    </w:p>
    <w:p w:rsidR="003562E2" w:rsidRPr="00E87BE9" w:rsidRDefault="003562E2" w:rsidP="003562E2">
      <w:pPr>
        <w:jc w:val="both"/>
        <w:rPr>
          <w:sz w:val="24"/>
          <w:szCs w:val="24"/>
        </w:rPr>
      </w:pPr>
      <w:r w:rsidRPr="00E87BE9">
        <w:rPr>
          <w:sz w:val="24"/>
          <w:szCs w:val="24"/>
        </w:rPr>
        <w:t>30 Ekim-3 Kasım 2017 tarihleri arasında 10 kişilik Tunus ve Nijer heyetlerine Orman Yangın Yönetim Sistemi Eğitimi verilmiştir.</w:t>
      </w:r>
    </w:p>
    <w:p w:rsidR="003562E2" w:rsidRDefault="003562E2" w:rsidP="003562E2">
      <w:pPr>
        <w:pStyle w:val="TableParagraph"/>
        <w:spacing w:before="3"/>
        <w:ind w:right="271"/>
        <w:jc w:val="both"/>
        <w:rPr>
          <w:sz w:val="24"/>
        </w:rPr>
      </w:pPr>
    </w:p>
    <w:p w:rsidR="003562E2" w:rsidRDefault="003562E2" w:rsidP="003562E2">
      <w:pPr>
        <w:pStyle w:val="TableParagraph"/>
        <w:spacing w:before="3"/>
        <w:ind w:right="271"/>
        <w:jc w:val="both"/>
        <w:rPr>
          <w:sz w:val="24"/>
        </w:rPr>
      </w:pPr>
    </w:p>
    <w:sectPr w:rsidR="003562E2">
      <w:type w:val="continuous"/>
      <w:pgSz w:w="11910" w:h="16840"/>
      <w:pgMar w:top="1580" w:right="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173"/>
    <w:multiLevelType w:val="hybridMultilevel"/>
    <w:tmpl w:val="90DE2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C69"/>
    <w:multiLevelType w:val="hybridMultilevel"/>
    <w:tmpl w:val="3BE8B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4558"/>
    <w:multiLevelType w:val="hybridMultilevel"/>
    <w:tmpl w:val="00D66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4907"/>
    <w:multiLevelType w:val="hybridMultilevel"/>
    <w:tmpl w:val="AABC8B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A394B"/>
    <w:multiLevelType w:val="hybridMultilevel"/>
    <w:tmpl w:val="E48A46F8"/>
    <w:lvl w:ilvl="0" w:tplc="A238B218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69BF00CA"/>
    <w:multiLevelType w:val="hybridMultilevel"/>
    <w:tmpl w:val="C46C1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3E"/>
    <w:rsid w:val="00004FDB"/>
    <w:rsid w:val="00026C50"/>
    <w:rsid w:val="00036A03"/>
    <w:rsid w:val="000921FF"/>
    <w:rsid w:val="00097CF4"/>
    <w:rsid w:val="000D1F14"/>
    <w:rsid w:val="000E2000"/>
    <w:rsid w:val="00122B0F"/>
    <w:rsid w:val="00137D2E"/>
    <w:rsid w:val="0019069D"/>
    <w:rsid w:val="001D0E06"/>
    <w:rsid w:val="00214DDE"/>
    <w:rsid w:val="002378E4"/>
    <w:rsid w:val="00274D0D"/>
    <w:rsid w:val="002E4B36"/>
    <w:rsid w:val="00317358"/>
    <w:rsid w:val="00325741"/>
    <w:rsid w:val="00345084"/>
    <w:rsid w:val="003562E2"/>
    <w:rsid w:val="003716CD"/>
    <w:rsid w:val="003A0CD2"/>
    <w:rsid w:val="003C5914"/>
    <w:rsid w:val="003D47A3"/>
    <w:rsid w:val="00412B07"/>
    <w:rsid w:val="0047378C"/>
    <w:rsid w:val="004F5498"/>
    <w:rsid w:val="005009A5"/>
    <w:rsid w:val="00505EFC"/>
    <w:rsid w:val="00530246"/>
    <w:rsid w:val="00542DBE"/>
    <w:rsid w:val="0055002F"/>
    <w:rsid w:val="00585E4D"/>
    <w:rsid w:val="00597410"/>
    <w:rsid w:val="005A6C97"/>
    <w:rsid w:val="005C5AFD"/>
    <w:rsid w:val="005D0C10"/>
    <w:rsid w:val="00634338"/>
    <w:rsid w:val="0063675E"/>
    <w:rsid w:val="006429A5"/>
    <w:rsid w:val="00686D77"/>
    <w:rsid w:val="00695059"/>
    <w:rsid w:val="006951D8"/>
    <w:rsid w:val="006A6981"/>
    <w:rsid w:val="006D62DC"/>
    <w:rsid w:val="006E1EAC"/>
    <w:rsid w:val="007250B7"/>
    <w:rsid w:val="00740AE3"/>
    <w:rsid w:val="00744D0D"/>
    <w:rsid w:val="00782293"/>
    <w:rsid w:val="007C5481"/>
    <w:rsid w:val="007F2B13"/>
    <w:rsid w:val="008141BF"/>
    <w:rsid w:val="00816CAF"/>
    <w:rsid w:val="00874381"/>
    <w:rsid w:val="008876D6"/>
    <w:rsid w:val="00950FD3"/>
    <w:rsid w:val="009543F6"/>
    <w:rsid w:val="009B76C6"/>
    <w:rsid w:val="00A271AB"/>
    <w:rsid w:val="00A41064"/>
    <w:rsid w:val="00A46D3D"/>
    <w:rsid w:val="00A629B8"/>
    <w:rsid w:val="00A81B99"/>
    <w:rsid w:val="00AC272F"/>
    <w:rsid w:val="00AD269C"/>
    <w:rsid w:val="00B10A26"/>
    <w:rsid w:val="00B95D32"/>
    <w:rsid w:val="00BB3912"/>
    <w:rsid w:val="00BD6C88"/>
    <w:rsid w:val="00C93037"/>
    <w:rsid w:val="00CA2243"/>
    <w:rsid w:val="00CE6105"/>
    <w:rsid w:val="00CF5E81"/>
    <w:rsid w:val="00D07505"/>
    <w:rsid w:val="00D13200"/>
    <w:rsid w:val="00D21427"/>
    <w:rsid w:val="00D552B0"/>
    <w:rsid w:val="00E011E0"/>
    <w:rsid w:val="00E6616B"/>
    <w:rsid w:val="00E7023E"/>
    <w:rsid w:val="00E9573B"/>
    <w:rsid w:val="00EA055E"/>
    <w:rsid w:val="00F52DA7"/>
    <w:rsid w:val="00F53A93"/>
    <w:rsid w:val="00F752E8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75ED"/>
  <w15:docId w15:val="{9BE85E6A-54E3-452B-931C-C2B2CB4A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302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246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7C548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C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D0C10"/>
    <w:rPr>
      <w:color w:val="0000FF" w:themeColor="hyperlink"/>
      <w:u w:val="single"/>
    </w:rPr>
  </w:style>
  <w:style w:type="character" w:customStyle="1" w:styleId="tlid-translation">
    <w:name w:val="tlid-translation"/>
    <w:basedOn w:val="VarsaylanParagrafYazTipi"/>
    <w:rsid w:val="0035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CC58-5474-4E8E-B61E-4AA1789D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TARAKCI</dc:creator>
  <cp:lastModifiedBy>Eray ÖZDEMİR Orman Endüstri Mühendisi</cp:lastModifiedBy>
  <cp:revision>3</cp:revision>
  <cp:lastPrinted>2019-03-05T13:08:00Z</cp:lastPrinted>
  <dcterms:created xsi:type="dcterms:W3CDTF">2019-12-06T14:33:00Z</dcterms:created>
  <dcterms:modified xsi:type="dcterms:W3CDTF">2019-12-06T14:36:00Z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2018-12-11T00:00:00Z</vt:filetime>
  </property>
</Properties>
</file>