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064D3" w14:textId="5DE33F99" w:rsidR="005C3552" w:rsidRPr="00082DD3" w:rsidRDefault="00082DD3" w:rsidP="00082DD3">
      <w:r w:rsidRPr="00082DD3">
        <w:t>https://www.tarimkredi.org.tr/kurumsal/merkez-birligimiz/hukuk-musavirligi/</w:t>
      </w:r>
    </w:p>
    <w:sectPr w:rsidR="005C3552" w:rsidRPr="0008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5B"/>
    <w:rsid w:val="00082DD3"/>
    <w:rsid w:val="005C3552"/>
    <w:rsid w:val="00A4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17EE"/>
  <w15:chartTrackingRefBased/>
  <w15:docId w15:val="{3B4E3EC2-75FF-49AD-B671-BB07453A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İRİTAŞ</dc:creator>
  <cp:keywords/>
  <dc:description/>
  <cp:lastModifiedBy>Özlem İRİTAŞ</cp:lastModifiedBy>
  <cp:revision>2</cp:revision>
  <dcterms:created xsi:type="dcterms:W3CDTF">2020-12-02T09:34:00Z</dcterms:created>
  <dcterms:modified xsi:type="dcterms:W3CDTF">2020-12-02T09:34:00Z</dcterms:modified>
</cp:coreProperties>
</file>